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142"/>
      </w:tblGrid>
      <w:tr w:rsidR="003433AD" w:rsidRPr="003433AD" w:rsidTr="003433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33AD" w:rsidRPr="003433AD" w:rsidRDefault="003433AD" w:rsidP="0034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</w:pPr>
            <w:r w:rsidRPr="003433A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 xml:space="preserve">Порядок </w:t>
            </w:r>
            <w:proofErr w:type="spellStart"/>
            <w:r w:rsidRPr="003433A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>раагування</w:t>
            </w:r>
            <w:proofErr w:type="spellEnd"/>
            <w:r w:rsidRPr="003433A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 xml:space="preserve"> на доведені випадки </w:t>
            </w:r>
            <w:proofErr w:type="spellStart"/>
            <w:r w:rsidRPr="003433A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>булінгу</w:t>
            </w:r>
            <w:proofErr w:type="spellEnd"/>
            <w:r w:rsidRPr="003433A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 xml:space="preserve"> (цькування) в закладі дошкільної освіти</w:t>
            </w:r>
            <w:r w:rsidRPr="003433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33AD" w:rsidRPr="003433AD" w:rsidTr="003433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33AD" w:rsidRPr="003433AD" w:rsidRDefault="003433AD" w:rsidP="0034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</w:pPr>
            <w:r w:rsidRPr="003433AD">
              <w:rPr>
                <w:rFonts w:ascii="Times New Roman" w:eastAsia="Times New Roman" w:hAnsi="Times New Roman" w:cs="Times New Roman"/>
                <w:b/>
                <w:bCs/>
                <w:noProof/>
                <w:color w:val="494949"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4429125</wp:posOffset>
                  </wp:positionH>
                  <wp:positionV relativeFrom="paragraph">
                    <wp:posOffset>-56515</wp:posOffset>
                  </wp:positionV>
                  <wp:extent cx="1809750" cy="1285875"/>
                  <wp:effectExtent l="19050" t="0" r="0" b="0"/>
                  <wp:wrapThrough wrapText="bothSides">
                    <wp:wrapPolygon edited="0">
                      <wp:start x="-227" y="0"/>
                      <wp:lineTo x="-227" y="21440"/>
                      <wp:lineTo x="21600" y="21440"/>
                      <wp:lineTo x="21600" y="0"/>
                      <wp:lineTo x="-227" y="0"/>
                    </wp:wrapPolygon>
                  </wp:wrapThrough>
                  <wp:docPr id="1" name="Рисунок 1" descr="Виховна година на тему: «STOP булінг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иховна година на тему: «STOP булінг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433AD">
              <w:rPr>
                <w:rFonts w:ascii="Times New Roman" w:eastAsia="Times New Roman" w:hAnsi="Times New Roman" w:cs="Times New Roman"/>
                <w:b/>
                <w:bCs/>
                <w:color w:val="494949"/>
                <w:sz w:val="28"/>
                <w:szCs w:val="28"/>
                <w:lang w:eastAsia="uk-UA"/>
              </w:rPr>
              <w:t xml:space="preserve">1. Виявлення факту </w:t>
            </w:r>
            <w:proofErr w:type="spellStart"/>
            <w:r w:rsidRPr="003433AD">
              <w:rPr>
                <w:rFonts w:ascii="Times New Roman" w:eastAsia="Times New Roman" w:hAnsi="Times New Roman" w:cs="Times New Roman"/>
                <w:b/>
                <w:bCs/>
                <w:color w:val="494949"/>
                <w:sz w:val="28"/>
                <w:szCs w:val="28"/>
                <w:lang w:eastAsia="uk-UA"/>
              </w:rPr>
              <w:t>булінгу</w:t>
            </w:r>
            <w:proofErr w:type="spellEnd"/>
            <w:r w:rsidRPr="003433AD">
              <w:rPr>
                <w:rFonts w:ascii="Times New Roman" w:eastAsia="Times New Roman" w:hAnsi="Times New Roman" w:cs="Times New Roman"/>
                <w:b/>
                <w:bCs/>
                <w:color w:val="494949"/>
                <w:sz w:val="28"/>
                <w:szCs w:val="28"/>
                <w:lang w:eastAsia="uk-UA"/>
              </w:rPr>
              <w:t xml:space="preserve"> (цькування)</w:t>
            </w:r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br/>
              <w:t xml:space="preserve">1.1. Здобувачі освіти зобов’язані повідомляти (в будь-який доступний спосіб) керівництво закладу освіти (або представника адміністрації, сестру медичну, педагогічних працівників) про факти </w:t>
            </w:r>
            <w:proofErr w:type="spellStart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>булінгу</w:t>
            </w:r>
            <w:proofErr w:type="spellEnd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 xml:space="preserve"> (цькування) стосовно здобувачів освіти, педагогічних працівників, інших осіб, які залучаються до освітнього процесу, свідком яких вони були особисто або про які отримали достовірну інформацію від інших осіб.</w:t>
            </w:r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br/>
              <w:t xml:space="preserve">1.2. Педагогічні працівники або інші працівники ЗДО зобов’язані повідомляти керівництво закладу освіти про факти </w:t>
            </w:r>
            <w:proofErr w:type="spellStart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>булінгу</w:t>
            </w:r>
            <w:proofErr w:type="spellEnd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 xml:space="preserve"> (цькування) стосовно здобувачів освіти, педагогічних, інших осіб, які залучаються до освітнього процесу, свідком якого вони були особисто або інформацію про які отримали від інших осіб, вживати невідкладних заходів для припинення </w:t>
            </w:r>
            <w:proofErr w:type="spellStart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>булінгу</w:t>
            </w:r>
            <w:proofErr w:type="spellEnd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 xml:space="preserve"> (цькування).</w:t>
            </w:r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br/>
            </w:r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br/>
            </w:r>
            <w:r w:rsidRPr="003433AD">
              <w:rPr>
                <w:rFonts w:ascii="Times New Roman" w:eastAsia="Times New Roman" w:hAnsi="Times New Roman" w:cs="Times New Roman"/>
                <w:b/>
                <w:bCs/>
                <w:color w:val="494949"/>
                <w:sz w:val="28"/>
                <w:szCs w:val="28"/>
                <w:lang w:eastAsia="uk-UA"/>
              </w:rPr>
              <w:t xml:space="preserve">2. Повідомлення про факт здійснення </w:t>
            </w:r>
            <w:proofErr w:type="spellStart"/>
            <w:r w:rsidRPr="003433AD">
              <w:rPr>
                <w:rFonts w:ascii="Times New Roman" w:eastAsia="Times New Roman" w:hAnsi="Times New Roman" w:cs="Times New Roman"/>
                <w:b/>
                <w:bCs/>
                <w:color w:val="494949"/>
                <w:sz w:val="28"/>
                <w:szCs w:val="28"/>
                <w:lang w:eastAsia="uk-UA"/>
              </w:rPr>
              <w:t>булінгу</w:t>
            </w:r>
            <w:proofErr w:type="spellEnd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br/>
              <w:t xml:space="preserve">Здобувачі освіти, педагогічні працівники або інші працівники ЗДО зобов’язані невідкладно звернутися з офіційною заявою (конфіденційність гарантується) про випадок </w:t>
            </w:r>
            <w:proofErr w:type="spellStart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>булінгу</w:t>
            </w:r>
            <w:proofErr w:type="spellEnd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 xml:space="preserve"> (цькування) до керівника закладу освіти.</w:t>
            </w:r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br/>
            </w:r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br/>
            </w:r>
            <w:r w:rsidRPr="003433AD">
              <w:rPr>
                <w:rFonts w:ascii="Times New Roman" w:eastAsia="Times New Roman" w:hAnsi="Times New Roman" w:cs="Times New Roman"/>
                <w:b/>
                <w:bCs/>
                <w:color w:val="494949"/>
                <w:sz w:val="28"/>
                <w:szCs w:val="28"/>
                <w:lang w:eastAsia="uk-UA"/>
              </w:rPr>
              <w:t>3. Розгляд звернення</w:t>
            </w:r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br/>
              <w:t xml:space="preserve">Керівник закладу розглядає заяви про випадки </w:t>
            </w:r>
            <w:proofErr w:type="spellStart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>булінгу</w:t>
            </w:r>
            <w:proofErr w:type="spellEnd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 xml:space="preserve"> (цькування) здобувачів освіти, їхніх батьків, законних представників, інших осіб та видає рішення (наказ) про проведення розслідування; скликає засідання комісії з розгляду випадків </w:t>
            </w:r>
            <w:proofErr w:type="spellStart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>булінгу</w:t>
            </w:r>
            <w:proofErr w:type="spellEnd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 xml:space="preserve"> (цькування) для прийняття рішення за результатами проведеного розслідування та вживає відповідних заходів реагування; забезпечує виконання заходів для надання соціальних та психолого-педагогічних послуг здобувачам освіти, які вчинили </w:t>
            </w:r>
            <w:proofErr w:type="spellStart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>булінг</w:t>
            </w:r>
            <w:proofErr w:type="spellEnd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 xml:space="preserve">, стали його свідками або постраждали від </w:t>
            </w:r>
            <w:proofErr w:type="spellStart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>булінгу</w:t>
            </w:r>
            <w:proofErr w:type="spellEnd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 xml:space="preserve"> (цькування).</w:t>
            </w:r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br/>
            </w:r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br/>
            </w:r>
            <w:r w:rsidRPr="003433AD">
              <w:rPr>
                <w:rFonts w:ascii="Times New Roman" w:eastAsia="Times New Roman" w:hAnsi="Times New Roman" w:cs="Times New Roman"/>
                <w:b/>
                <w:bCs/>
                <w:color w:val="494949"/>
                <w:sz w:val="28"/>
                <w:szCs w:val="28"/>
                <w:lang w:eastAsia="uk-UA"/>
              </w:rPr>
              <w:t xml:space="preserve">4. Робота комісії з розгляду випадку </w:t>
            </w:r>
            <w:proofErr w:type="spellStart"/>
            <w:r w:rsidRPr="003433AD">
              <w:rPr>
                <w:rFonts w:ascii="Times New Roman" w:eastAsia="Times New Roman" w:hAnsi="Times New Roman" w:cs="Times New Roman"/>
                <w:b/>
                <w:bCs/>
                <w:color w:val="494949"/>
                <w:sz w:val="28"/>
                <w:szCs w:val="28"/>
                <w:lang w:eastAsia="uk-UA"/>
              </w:rPr>
              <w:t>булінгу</w:t>
            </w:r>
            <w:proofErr w:type="spellEnd"/>
            <w:r w:rsidRPr="003433AD">
              <w:rPr>
                <w:rFonts w:ascii="Times New Roman" w:eastAsia="Times New Roman" w:hAnsi="Times New Roman" w:cs="Times New Roman"/>
                <w:b/>
                <w:bCs/>
                <w:color w:val="494949"/>
                <w:sz w:val="28"/>
                <w:szCs w:val="28"/>
                <w:lang w:eastAsia="uk-UA"/>
              </w:rPr>
              <w:t xml:space="preserve"> (цькування)</w:t>
            </w:r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br/>
              <w:t>4.1. Визначення кваліфікації випадку:</w:t>
            </w:r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br/>
              <w:t xml:space="preserve">- БУЛІНГ (цькування) - психологічне, фізичне, економічне, сексуальне, </w:t>
            </w:r>
            <w:proofErr w:type="spellStart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>кібербулінг</w:t>
            </w:r>
            <w:proofErr w:type="spellEnd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>; чи КОНФЛІКТ (інтересів, поглядів);</w:t>
            </w:r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br/>
              <w:t xml:space="preserve">- </w:t>
            </w:r>
            <w:proofErr w:type="spellStart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>повторюванність</w:t>
            </w:r>
            <w:proofErr w:type="spellEnd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 xml:space="preserve"> діянь (одноразовий конфлікт </w:t>
            </w:r>
            <w:proofErr w:type="spellStart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>–сварка</w:t>
            </w:r>
            <w:proofErr w:type="spellEnd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>/ НЕ БУЛІНГ).</w:t>
            </w:r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br/>
              <w:t>4.2. Надання висновку та аналітичного звіту про розслідування керівнику закладу. Рішення комісії реєструються в окремому журналі, зберігаються в паперовому вигляді з оригіналами підписів усіх членів комісії.</w:t>
            </w:r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br/>
            </w:r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br/>
            </w:r>
            <w:r w:rsidRPr="003433AD">
              <w:rPr>
                <w:rFonts w:ascii="Times New Roman" w:eastAsia="Times New Roman" w:hAnsi="Times New Roman" w:cs="Times New Roman"/>
                <w:b/>
                <w:bCs/>
                <w:color w:val="494949"/>
                <w:sz w:val="28"/>
                <w:szCs w:val="28"/>
                <w:lang w:eastAsia="uk-UA"/>
              </w:rPr>
              <w:t xml:space="preserve">5. Прикінцеві заходи щодо розгляду випадків </w:t>
            </w:r>
            <w:proofErr w:type="spellStart"/>
            <w:r w:rsidRPr="003433AD">
              <w:rPr>
                <w:rFonts w:ascii="Times New Roman" w:eastAsia="Times New Roman" w:hAnsi="Times New Roman" w:cs="Times New Roman"/>
                <w:b/>
                <w:bCs/>
                <w:color w:val="494949"/>
                <w:sz w:val="28"/>
                <w:szCs w:val="28"/>
                <w:lang w:eastAsia="uk-UA"/>
              </w:rPr>
              <w:t>булінгу</w:t>
            </w:r>
            <w:proofErr w:type="spellEnd"/>
            <w:r w:rsidRPr="003433AD">
              <w:rPr>
                <w:rFonts w:ascii="Times New Roman" w:eastAsia="Times New Roman" w:hAnsi="Times New Roman" w:cs="Times New Roman"/>
                <w:b/>
                <w:bCs/>
                <w:color w:val="494949"/>
                <w:sz w:val="28"/>
                <w:szCs w:val="28"/>
                <w:lang w:eastAsia="uk-UA"/>
              </w:rPr>
              <w:t xml:space="preserve"> (цькування)</w:t>
            </w:r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br/>
              <w:t xml:space="preserve">5.1. Видання підсумкового наказу про наслідки розслідування випадку </w:t>
            </w:r>
            <w:proofErr w:type="spellStart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>булінгу</w:t>
            </w:r>
            <w:proofErr w:type="spellEnd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 xml:space="preserve"> (цькування).</w:t>
            </w:r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br/>
              <w:t>5.2. Направлення відповіді заявнику (заявникам).</w:t>
            </w:r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br/>
            </w:r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br/>
            </w:r>
            <w:r w:rsidRPr="003433AD">
              <w:rPr>
                <w:rFonts w:ascii="Times New Roman" w:eastAsia="Times New Roman" w:hAnsi="Times New Roman" w:cs="Times New Roman"/>
                <w:b/>
                <w:bCs/>
                <w:color w:val="494949"/>
                <w:sz w:val="28"/>
                <w:szCs w:val="28"/>
                <w:lang w:eastAsia="uk-UA"/>
              </w:rPr>
              <w:lastRenderedPageBreak/>
              <w:t xml:space="preserve">Порядок реагування на доведені випадки </w:t>
            </w:r>
            <w:proofErr w:type="spellStart"/>
            <w:r w:rsidRPr="003433AD">
              <w:rPr>
                <w:rFonts w:ascii="Times New Roman" w:eastAsia="Times New Roman" w:hAnsi="Times New Roman" w:cs="Times New Roman"/>
                <w:b/>
                <w:bCs/>
                <w:color w:val="494949"/>
                <w:sz w:val="28"/>
                <w:szCs w:val="28"/>
                <w:lang w:eastAsia="uk-UA"/>
              </w:rPr>
              <w:t>булінгу</w:t>
            </w:r>
            <w:proofErr w:type="spellEnd"/>
            <w:r w:rsidRPr="003433AD">
              <w:rPr>
                <w:rFonts w:ascii="Times New Roman" w:eastAsia="Times New Roman" w:hAnsi="Times New Roman" w:cs="Times New Roman"/>
                <w:b/>
                <w:bCs/>
                <w:color w:val="494949"/>
                <w:sz w:val="28"/>
                <w:szCs w:val="28"/>
                <w:lang w:eastAsia="uk-UA"/>
              </w:rPr>
              <w:t xml:space="preserve"> (цькування)</w:t>
            </w:r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br/>
              <w:t xml:space="preserve">1.Якщо комісія, створена для розгляду випадку </w:t>
            </w:r>
            <w:proofErr w:type="spellStart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>булінгу</w:t>
            </w:r>
            <w:proofErr w:type="spellEnd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 xml:space="preserve"> (цькування) в ЗДО визнала, що це був </w:t>
            </w:r>
            <w:proofErr w:type="spellStart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>булінг</w:t>
            </w:r>
            <w:proofErr w:type="spellEnd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 xml:space="preserve"> (цькування), а не одноразовий конфлікт чи сварка, то керівник закладу освіти в обов’язковому порядку повідомляє про це уповноваженим підрозділам:</w:t>
            </w:r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br/>
              <w:t>• ювенальна превенція м. Дубно;</w:t>
            </w:r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br/>
              <w:t>• служба у справах дітей м. Дубно.</w:t>
            </w:r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br/>
              <w:t xml:space="preserve">2. У разі, якщо комісія не кваліфікує випадок як </w:t>
            </w:r>
            <w:proofErr w:type="spellStart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>булінг</w:t>
            </w:r>
            <w:proofErr w:type="spellEnd"/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t xml:space="preserve"> (цькування), а постраждалий не згодний з цим, то він може одразу звернутися до поліції.</w:t>
            </w:r>
            <w:r w:rsidRPr="003433AD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uk-UA"/>
              </w:rPr>
              <w:br/>
              <w:t>3. За будь-якого рішення комісії заклад освіти забезпечує психологічну підтримку усім учасникам випадку.</w:t>
            </w:r>
          </w:p>
        </w:tc>
      </w:tr>
    </w:tbl>
    <w:p w:rsidR="009C6614" w:rsidRPr="003433AD" w:rsidRDefault="009C6614" w:rsidP="003433AD">
      <w:pPr>
        <w:spacing w:after="0"/>
        <w:rPr>
          <w:rFonts w:ascii="Times New Roman" w:hAnsi="Times New Roman" w:cs="Times New Roman"/>
        </w:rPr>
      </w:pPr>
    </w:p>
    <w:sectPr w:rsidR="009C6614" w:rsidRPr="003433AD" w:rsidSect="003433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33AD"/>
    <w:rsid w:val="003433AD"/>
    <w:rsid w:val="009C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1939</Words>
  <Characters>1106</Characters>
  <Application>Microsoft Office Word</Application>
  <DocSecurity>0</DocSecurity>
  <Lines>9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2024-10-07T12:21:00Z</dcterms:created>
  <dcterms:modified xsi:type="dcterms:W3CDTF">2024-10-07T12:30:00Z</dcterms:modified>
</cp:coreProperties>
</file>